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CE" w:rsidRDefault="00A545CE" w:rsidP="00A545CE">
      <w:pPr>
        <w:pStyle w:val="omnipage1"/>
        <w:spacing w:before="0" w:beforeAutospacing="0" w:after="0" w:afterAutospacing="0"/>
        <w:ind w:right="50"/>
        <w:rPr>
          <w:rFonts w:asciiTheme="minorHAnsi" w:hAnsiTheme="minorHAnsi"/>
          <w:b/>
          <w:color w:val="000000"/>
          <w:sz w:val="20"/>
          <w:szCs w:val="20"/>
          <w:lang w:val="es-ES_tradnl"/>
        </w:rPr>
      </w:pPr>
      <w:r w:rsidRPr="00A545CE">
        <w:rPr>
          <w:rFonts w:asciiTheme="minorHAnsi" w:hAnsiTheme="minorHAnsi"/>
          <w:b/>
          <w:color w:val="000000"/>
          <w:sz w:val="20"/>
          <w:szCs w:val="20"/>
          <w:lang w:val="es-ES_tradnl"/>
        </w:rPr>
        <w:t>¿Por qué son tan importantes los logaritmos?</w:t>
      </w:r>
    </w:p>
    <w:p w:rsidR="00F37145" w:rsidRDefault="00F37145" w:rsidP="00A545CE">
      <w:pPr>
        <w:pStyle w:val="omnipage1"/>
        <w:spacing w:before="0" w:beforeAutospacing="0" w:after="0" w:afterAutospacing="0"/>
        <w:ind w:right="50"/>
        <w:rPr>
          <w:rFonts w:asciiTheme="minorHAnsi" w:hAnsiTheme="minorHAnsi"/>
          <w:b/>
          <w:color w:val="000000"/>
          <w:sz w:val="20"/>
          <w:szCs w:val="20"/>
          <w:lang w:val="es-ES_tradnl"/>
        </w:rPr>
      </w:pPr>
    </w:p>
    <w:p w:rsidR="00A545CE" w:rsidRPr="00A545CE" w:rsidRDefault="00F37145" w:rsidP="00A545CE">
      <w:pPr>
        <w:pStyle w:val="omnipage1"/>
        <w:spacing w:before="0" w:beforeAutospacing="0" w:after="0" w:afterAutospacing="0"/>
        <w:ind w:right="50"/>
        <w:rPr>
          <w:rFonts w:asciiTheme="minorHAnsi" w:hAnsiTheme="minorHAnsi"/>
          <w:b/>
          <w:color w:val="000000"/>
          <w:sz w:val="20"/>
          <w:szCs w:val="20"/>
          <w:lang w:val="es-ES_tradnl"/>
        </w:rPr>
      </w:pP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Desde la antigüedad, diversos matemáticos trabajaron e investigaron en este campo</w:t>
      </w:r>
      <w:r>
        <w:rPr>
          <w:rFonts w:asciiTheme="minorHAnsi" w:hAnsiTheme="minorHAnsi"/>
          <w:iCs/>
          <w:color w:val="000000"/>
          <w:sz w:val="20"/>
          <w:szCs w:val="20"/>
          <w:lang w:val="es-ES_tradnl"/>
        </w:rPr>
        <w:t>: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Arquímedes (siglo III) comparó y estudió las progresiones </w:t>
      </w:r>
      <m:oMath>
        <m:d>
          <m:dPr>
            <m:begChr m:val="{"/>
            <m:endChr m:val="}"/>
            <m:ctrlPr>
              <w:rPr>
                <w:rFonts w:ascii="Cambria Math" w:eastAsiaTheme="minorHAnsi" w:hAnsiTheme="minorHAnsi" w:cstheme="minorBidi"/>
                <w:iCs/>
                <w:color w:val="000000"/>
                <w:sz w:val="20"/>
                <w:szCs w:val="20"/>
                <w:lang w:val="es-ES_tradnl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  <m:t>1, 2, 3, 4,</m:t>
            </m:r>
            <m:r>
              <m:rPr>
                <m:sty m:val="p"/>
              </m:r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  <m:t>…</m:t>
            </m:r>
          </m:e>
        </m:d>
        <m:r>
          <m:rPr>
            <m:sty m:val="p"/>
          </m:rPr>
          <w:rPr>
            <w:rFonts w:ascii="Cambria Math" w:hAnsiTheme="minorHAnsi"/>
            <w:color w:val="000000"/>
            <w:sz w:val="20"/>
            <w:szCs w:val="20"/>
            <w:lang w:val="es-ES_tradnl"/>
          </w:rPr>
          <m:t xml:space="preserve">, </m:t>
        </m:r>
      </m:oMath>
      <w:r w:rsidRPr="00A545CE">
        <w:rPr>
          <w:rFonts w:asciiTheme="minorHAnsi" w:eastAsiaTheme="minorEastAsia" w:hAnsiTheme="minorHAnsi"/>
          <w:iCs/>
          <w:color w:val="000000"/>
          <w:sz w:val="20"/>
          <w:szCs w:val="20"/>
          <w:lang w:val="es-ES_tradnl"/>
        </w:rPr>
        <w:t xml:space="preserve"> 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HAnsi" w:hAnsiTheme="minorHAnsi" w:cstheme="minorBidi"/>
                <w:iCs/>
                <w:color w:val="000000"/>
                <w:sz w:val="20"/>
                <w:szCs w:val="20"/>
                <w:lang w:val="es-ES_tradnl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  <m:t>2, 4, 8, 16, 32,</m:t>
            </m:r>
            <m:r>
              <m:rPr>
                <m:sty m:val="p"/>
              </m:r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  <m:t>…</m:t>
            </m:r>
          </m:e>
        </m:d>
      </m:oMath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, pero fue </w:t>
      </w:r>
      <w:proofErr w:type="spellStart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Stifel</w:t>
      </w:r>
      <w:proofErr w:type="spellEnd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(siglo XVI) quien  sacó consecuencias importantes sobre ellas.</w:t>
      </w:r>
      <w:r w:rsidRPr="00A545CE">
        <w:rPr>
          <w:rStyle w:val="omnipage1"/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</w:t>
      </w:r>
      <w:r w:rsidRPr="00A545CE">
        <w:rPr>
          <w:rStyle w:val="apple-converted-space"/>
          <w:rFonts w:asciiTheme="minorHAnsi" w:hAnsiTheme="minorHAnsi"/>
          <w:iCs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La generalización de estos resultados a cualquier progresión geométrica llegaría años más tarde de manos de </w:t>
      </w:r>
      <w:proofErr w:type="spellStart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Bürgl</w:t>
      </w:r>
      <w:proofErr w:type="spellEnd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y </w:t>
      </w:r>
      <w:proofErr w:type="spellStart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Napier</w:t>
      </w:r>
      <w:proofErr w:type="spellEnd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(siglo XVII).</w:t>
      </w:r>
      <w:r w:rsidRPr="00A545CE">
        <w:rPr>
          <w:rStyle w:val="omnipage1"/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 </w:t>
      </w:r>
      <w:r w:rsidRPr="00A545CE">
        <w:rPr>
          <w:rStyle w:val="apple-converted-space"/>
          <w:rFonts w:asciiTheme="minorHAnsi" w:hAnsiTheme="minorHAnsi"/>
          <w:iCs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Posteriormente, </w:t>
      </w:r>
      <w:proofErr w:type="spellStart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Briggs</w:t>
      </w:r>
      <w:proofErr w:type="spellEnd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 xml:space="preserve">, amigo de </w:t>
      </w:r>
      <w:proofErr w:type="spellStart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Napier</w:t>
      </w:r>
      <w:proofErr w:type="spellEnd"/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, construyó unas tablas logarítmicas con base el número 10. Los logaritmos con base 10 se llamaron decimales. Igual que en el caso de los logaritmos neperianos, su notación se abrevia.</w:t>
      </w:r>
    </w:p>
    <w:p w:rsidR="006E1744" w:rsidRPr="00A545CE" w:rsidRDefault="006E1744" w:rsidP="00A545CE">
      <w:pPr>
        <w:pStyle w:val="omnipage1"/>
        <w:spacing w:before="0" w:beforeAutospacing="0" w:after="0" w:afterAutospacing="0"/>
        <w:ind w:right="50"/>
        <w:rPr>
          <w:rFonts w:asciiTheme="minorHAnsi" w:hAnsiTheme="minorHAnsi"/>
          <w:color w:val="000000"/>
          <w:sz w:val="20"/>
          <w:szCs w:val="20"/>
        </w:rPr>
      </w:pP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La gran ventaja de</w:t>
      </w:r>
      <w:r w:rsidRPr="00A545CE">
        <w:rPr>
          <w:rStyle w:val="apple-converted-space"/>
          <w:rFonts w:asciiTheme="minorHAnsi" w:hAnsiTheme="minorHAnsi"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los logaritmos</w:t>
      </w:r>
      <w:r w:rsidRPr="00A545CE">
        <w:rPr>
          <w:rStyle w:val="apple-converted-space"/>
          <w:rFonts w:asciiTheme="minorHAnsi" w:hAnsiTheme="minorHAnsi"/>
          <w:iCs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consiste en que</w:t>
      </w:r>
      <w:r w:rsidRPr="00A545CE">
        <w:rPr>
          <w:rStyle w:val="apple-converted-space"/>
          <w:rFonts w:asciiTheme="minorHAnsi" w:hAnsiTheme="minorHAnsi"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crecen mucho más despacio</w:t>
      </w:r>
      <w:r w:rsidRPr="00A545CE">
        <w:rPr>
          <w:rStyle w:val="apple-converted-space"/>
          <w:rFonts w:asciiTheme="minorHAnsi" w:hAnsiTheme="minorHAnsi"/>
          <w:iCs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que los propios números.</w:t>
      </w:r>
      <w:r w:rsidRPr="00A545C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En base 10, por ejemplo, mientras x recorre desde 1 hasta un billón (=10</w:t>
      </w:r>
      <w:r w:rsidR="00463E9B" w:rsidRPr="00A545CE">
        <w:rPr>
          <w:rFonts w:asciiTheme="minorHAnsi" w:hAnsiTheme="minorHAnsi"/>
          <w:noProof/>
          <w:color w:val="000000"/>
          <w:sz w:val="20"/>
          <w:szCs w:val="20"/>
          <w:vertAlign w:val="superscript"/>
        </w:rPr>
        <w:t>12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 xml:space="preserve">), </w:t>
      </w:r>
      <m:oMath>
        <m:func>
          <m:funcPr>
            <m:ctrl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</m:ctrlPr>
          </m:funcPr>
          <m:fName>
            <m:sSub>
              <m:sSubPr>
                <m:ctrlPr>
                  <w:rPr>
                    <w:rFonts w:ascii="Cambria Math" w:hAnsiTheme="minorHAnsi"/>
                    <w:color w:val="000000"/>
                    <w:sz w:val="20"/>
                    <w:szCs w:val="20"/>
                    <w:lang w:val="es-ES_trad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  <w:color w:val="000000"/>
                    <w:sz w:val="20"/>
                    <w:szCs w:val="20"/>
                    <w:lang w:val="es-ES_tradn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color w:val="000000"/>
                    <w:sz w:val="20"/>
                    <w:szCs w:val="20"/>
                    <w:lang w:val="es-ES_tradnl"/>
                  </w:rPr>
                  <m:t>10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Theme="minorHAnsi"/>
                <w:color w:val="000000"/>
                <w:sz w:val="20"/>
                <w:szCs w:val="20"/>
                <w:lang w:val="es-ES_tradnl"/>
              </w:rPr>
              <m:t>x</m:t>
            </m:r>
          </m:e>
        </m:func>
      </m:oMath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 xml:space="preserve"> </w:t>
      </w:r>
      <w:r w:rsidR="00463E9B"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sólo recorre desde 0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 xml:space="preserve"> hasta 12. Por  eso proporcionan una</w:t>
      </w:r>
      <w:r w:rsidRPr="00A545CE">
        <w:rPr>
          <w:rStyle w:val="apple-converted-space"/>
          <w:rFonts w:asciiTheme="minorHAnsi" w:hAnsiTheme="minorHAnsi"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iCs/>
          <w:color w:val="000000"/>
          <w:sz w:val="20"/>
          <w:szCs w:val="20"/>
          <w:lang w:val="es-ES_tradnl"/>
        </w:rPr>
        <w:t>escala adecuada para medir magnitudes cuyos rangos de variación son enormes,</w:t>
      </w:r>
      <w:r w:rsidRPr="00A545CE">
        <w:rPr>
          <w:rStyle w:val="apple-converted-space"/>
          <w:rFonts w:asciiTheme="minorHAnsi" w:hAnsiTheme="minorHAnsi"/>
          <w:iCs/>
          <w:color w:val="000000"/>
          <w:sz w:val="20"/>
          <w:szCs w:val="20"/>
          <w:lang w:val="es-ES_tradnl"/>
        </w:rPr>
        <w:t> </w:t>
      </w:r>
      <w:r w:rsidRPr="00A545CE">
        <w:rPr>
          <w:rFonts w:asciiTheme="minorHAnsi" w:hAnsiTheme="minorHAnsi"/>
          <w:color w:val="000000"/>
          <w:sz w:val="20"/>
          <w:szCs w:val="20"/>
          <w:lang w:val="es-ES_tradnl"/>
        </w:rPr>
        <w:t>como la intensidad del sonido o de los terremotos.</w:t>
      </w:r>
    </w:p>
    <w:p w:rsidR="00AC4AF7" w:rsidRPr="00A545CE" w:rsidRDefault="006E1744" w:rsidP="00A545CE">
      <w:pPr>
        <w:spacing w:line="240" w:lineRule="auto"/>
        <w:rPr>
          <w:iCs/>
          <w:color w:val="000000"/>
          <w:sz w:val="20"/>
          <w:szCs w:val="20"/>
          <w:lang w:val="es-ES_tradnl"/>
        </w:rPr>
      </w:pPr>
      <w:r w:rsidRPr="00A545CE">
        <w:rPr>
          <w:color w:val="000000"/>
          <w:sz w:val="20"/>
          <w:szCs w:val="20"/>
          <w:lang w:val="es-ES_tradnl"/>
        </w:rPr>
        <w:t>Otra gran ventaja del cálculo con logaritmos es la posibilidad de rebajar el</w:t>
      </w:r>
      <w:r w:rsidRPr="00A545CE">
        <w:rPr>
          <w:rStyle w:val="apple-converted-space"/>
          <w:color w:val="000000"/>
          <w:sz w:val="20"/>
          <w:szCs w:val="20"/>
          <w:lang w:val="es-ES_tradnl"/>
        </w:rPr>
        <w:t> </w:t>
      </w:r>
      <w:r w:rsidRPr="00A545CE">
        <w:rPr>
          <w:iCs/>
          <w:color w:val="000000"/>
          <w:sz w:val="20"/>
          <w:szCs w:val="20"/>
          <w:lang w:val="es-ES_tradnl"/>
        </w:rPr>
        <w:t>grado de las operaciones aritméticas, ya que transforman los productos en sumas, los cocientes en restas, las potencias</w:t>
      </w:r>
      <w:r w:rsidRPr="00A545CE">
        <w:rPr>
          <w:rStyle w:val="apple-converted-space"/>
          <w:iCs/>
          <w:color w:val="000000"/>
          <w:sz w:val="20"/>
          <w:szCs w:val="20"/>
          <w:lang w:val="es-ES_tradnl"/>
        </w:rPr>
        <w:t> </w:t>
      </w:r>
      <w:r w:rsidRPr="00A545CE">
        <w:rPr>
          <w:iCs/>
          <w:color w:val="000000"/>
          <w:sz w:val="20"/>
          <w:szCs w:val="20"/>
          <w:lang w:val="es-ES_tradnl"/>
        </w:rPr>
        <w:t>en multiplicaciones y las raíces en divisiones por el índice de la raíz.</w:t>
      </w:r>
      <w:r w:rsidR="00F37145">
        <w:rPr>
          <w:iCs/>
          <w:color w:val="000000"/>
          <w:sz w:val="20"/>
          <w:szCs w:val="20"/>
          <w:lang w:val="es-ES_tradnl"/>
        </w:rPr>
        <w:t xml:space="preserve"> Antes de que se generalizara el uso de calculadoras y computadores, las tablas logarítmicas suponían una gran ayuda para estudiantes ó contables.</w:t>
      </w:r>
    </w:p>
    <w:p w:rsidR="00A545CE" w:rsidRPr="00A545CE" w:rsidRDefault="00A545CE" w:rsidP="00A545CE">
      <w:pPr>
        <w:spacing w:line="240" w:lineRule="auto"/>
        <w:rPr>
          <w:rStyle w:val="apple-converted-space"/>
          <w:b/>
          <w:iCs/>
          <w:color w:val="000000"/>
          <w:sz w:val="20"/>
          <w:szCs w:val="20"/>
          <w:lang w:val="es-ES_tradnl"/>
        </w:rPr>
      </w:pPr>
      <w:r w:rsidRPr="00A545CE">
        <w:rPr>
          <w:b/>
          <w:iCs/>
          <w:color w:val="000000"/>
          <w:sz w:val="20"/>
          <w:szCs w:val="20"/>
          <w:lang w:val="es-ES_tradnl"/>
        </w:rPr>
        <w:t>Logaritmos y decibelios.</w:t>
      </w:r>
    </w:p>
    <w:p w:rsidR="006E1744" w:rsidRDefault="006E1744" w:rsidP="00A545CE">
      <w:pPr>
        <w:spacing w:after="0" w:line="240" w:lineRule="auto"/>
        <w:ind w:right="164"/>
        <w:rPr>
          <w:rFonts w:eastAsia="Times New Roman" w:cs="Times New Roman"/>
          <w:color w:val="000000"/>
          <w:sz w:val="20"/>
          <w:szCs w:val="20"/>
          <w:lang w:val="es-ES_tradnl" w:eastAsia="es-ES"/>
        </w:rPr>
      </w:pP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>El oído humano percibe un rango enorme de intensidades sonoras I (medidas en vatios/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m</w:t>
      </w:r>
      <w:r w:rsidRPr="00A545CE">
        <w:rPr>
          <w:rFonts w:eastAsia="Times New Roman" w:cs="Times New Roman"/>
          <w:color w:val="000000"/>
          <w:sz w:val="20"/>
          <w:szCs w:val="20"/>
          <w:vertAlign w:val="superscript"/>
          <w:lang w:val="es-ES_tradnl" w:eastAsia="es-ES"/>
        </w:rPr>
        <w:t>2</w:t>
      </w: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), entre un umbral 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10</w:t>
      </w:r>
      <w:r w:rsidRPr="00A545CE">
        <w:rPr>
          <w:rFonts w:eastAsia="Times New Roman" w:cs="Times New Roman"/>
          <w:color w:val="000000"/>
          <w:sz w:val="20"/>
          <w:szCs w:val="20"/>
          <w:vertAlign w:val="superscript"/>
          <w:lang w:val="es-ES_tradnl" w:eastAsia="es-ES"/>
        </w:rPr>
        <w:t>-12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</w:t>
      </w: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>y sonidos  del orden de billones de veces más intensos, como muestra la siguiente tabla:</w:t>
      </w:r>
    </w:p>
    <w:p w:rsidR="00F37145" w:rsidRPr="00A545CE" w:rsidRDefault="00F37145" w:rsidP="00A545CE">
      <w:pPr>
        <w:spacing w:after="0" w:line="240" w:lineRule="auto"/>
        <w:ind w:right="164"/>
        <w:rPr>
          <w:rFonts w:eastAsia="Times New Roman" w:cs="Times New Roman"/>
          <w:color w:val="000000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Ind w:w="2093" w:type="dxa"/>
        <w:tblLook w:val="04A0"/>
      </w:tblPr>
      <w:tblGrid>
        <w:gridCol w:w="2282"/>
        <w:gridCol w:w="1829"/>
        <w:gridCol w:w="1214"/>
      </w:tblGrid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Sonido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Intensidad aprox. en vatios/m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Decibelios</w:t>
            </w: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Umbral de audición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"/>
              </w:rPr>
              <w:t>=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-12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Susurros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m:oMath>
              <m: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∙</m:t>
              </m:r>
            </m:oMath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-10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Conversación normal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m:oMath>
              <m: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∙</m:t>
              </m:r>
            </m:oMath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-6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Tráfico muy intenso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  <m:oMath>
              <m: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∙</m:t>
              </m:r>
            </m:oMath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-4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Martillo neumático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m:oMath>
              <m: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∙</m:t>
              </m:r>
            </m:oMath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-3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3E9B" w:rsidRPr="00A545CE" w:rsidTr="00F37145">
        <w:tc>
          <w:tcPr>
            <w:tcW w:w="2282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E17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Umbral del dolor</w:t>
            </w:r>
          </w:p>
        </w:tc>
        <w:tc>
          <w:tcPr>
            <w:tcW w:w="1829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A545C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A545C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1214" w:type="dxa"/>
            <w:vAlign w:val="center"/>
          </w:tcPr>
          <w:p w:rsidR="00463E9B" w:rsidRPr="00A545CE" w:rsidRDefault="00463E9B" w:rsidP="00A545CE">
            <w:pPr>
              <w:ind w:right="164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E1744" w:rsidRPr="006E1744" w:rsidRDefault="006E1744" w:rsidP="00A545CE">
      <w:pPr>
        <w:spacing w:after="0" w:line="240" w:lineRule="auto"/>
        <w:ind w:right="164"/>
        <w:rPr>
          <w:rFonts w:eastAsia="Times New Roman" w:cs="Times New Roman"/>
          <w:color w:val="000000"/>
          <w:sz w:val="20"/>
          <w:szCs w:val="20"/>
          <w:lang w:eastAsia="es-ES"/>
        </w:rPr>
      </w:pPr>
    </w:p>
    <w:p w:rsidR="006E1744" w:rsidRPr="00A545CE" w:rsidRDefault="006E1744" w:rsidP="00A545CE">
      <w:pPr>
        <w:spacing w:after="0" w:line="240" w:lineRule="auto"/>
        <w:ind w:left="101" w:right="50"/>
        <w:rPr>
          <w:rFonts w:eastAsia="Times New Roman" w:cs="Times New Roman"/>
          <w:color w:val="000000"/>
          <w:sz w:val="20"/>
          <w:szCs w:val="20"/>
          <w:lang w:val="es-ES_tradnl" w:eastAsia="es-ES"/>
        </w:rPr>
      </w:pP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>Pero al crecer la intensidad geométricamente, la sensación percibida lo hace de forma aproximadamente aritmética. Por eso se introdujo la escala de medida en belios y</w:t>
      </w:r>
      <w:r w:rsidR="00463E9B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</w:t>
      </w:r>
      <w:r w:rsidRPr="006E1744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decibelios</w:t>
      </w:r>
      <w:r w:rsidRPr="00A545CE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 </w:t>
      </w: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(en honor de A. G. Bell, el inventor del teléfono), en la cual un sonido de intensidad I tiene, por definición, un nivel </w:t>
      </w:r>
      <w:r w:rsidR="00DA34C6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en</w:t>
      </w:r>
      <w:r w:rsidRPr="00A545CE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 </w:t>
      </w:r>
      <w:r w:rsidR="00463E9B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belios</w:t>
      </w:r>
      <w:r w:rsidRPr="006E1744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de</w:t>
      </w:r>
      <w:r w:rsidR="00DA34C6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</w:t>
      </w:r>
      <m:oMath>
        <m:func>
          <m:funcPr>
            <m:ctrlPr>
              <w:rPr>
                <w:rFonts w:ascii="Cambria Math" w:eastAsia="Times New Roman" w:cs="Times New Roman"/>
                <w:color w:val="000000"/>
                <w:sz w:val="20"/>
                <w:szCs w:val="20"/>
                <w:lang w:eastAsia="es-E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0"/>
                <w:szCs w:val="20"/>
                <w:lang w:eastAsia="es-ES"/>
              </w:rPr>
              <m:t>log</m:t>
            </m:r>
          </m:fName>
          <m:e>
            <m:d>
              <m:dPr>
                <m:ctrlPr>
                  <w:rPr>
                    <w:rFonts w:ascii="Cambria Math" w:eastAsia="Times New Roman" w:cs="Times New Roman"/>
                    <w:color w:val="000000"/>
                    <w:sz w:val="20"/>
                    <w:szCs w:val="20"/>
                    <w:lang w:eastAsia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cs="Times New Roman"/>
                        <w:color w:val="000000"/>
                        <w:sz w:val="20"/>
                        <w:szCs w:val="20"/>
                        <w:lang w:eastAsia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 w:val="20"/>
                        <w:szCs w:val="20"/>
                        <w:lang w:eastAsia="es-ES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cs="Times New Roman"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/>
                            <w:sz w:val="20"/>
                            <w:szCs w:val="20"/>
                            <w:lang w:eastAsia="es-ES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cs="Times New Roman"/>
                            <w:color w:val="000000"/>
                            <w:sz w:val="20"/>
                            <w:szCs w:val="20"/>
                            <w:lang w:eastAsia="es-ES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func>
      </m:oMath>
      <w:r w:rsidR="00DA34C6" w:rsidRPr="00A545CE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y, en decibelios (la décima parte del belio), de</w:t>
      </w:r>
    </w:p>
    <w:p w:rsidR="00463E9B" w:rsidRPr="006E1744" w:rsidRDefault="00463E9B" w:rsidP="00A545CE">
      <w:pPr>
        <w:spacing w:after="0" w:line="240" w:lineRule="auto"/>
        <w:ind w:left="101" w:right="50"/>
        <w:rPr>
          <w:rFonts w:eastAsia="Times New Roman" w:cs="Times New Roman"/>
          <w:color w:val="000000"/>
          <w:sz w:val="20"/>
          <w:szCs w:val="20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D=10</m:t>
          </m:r>
          <m:func>
            <m:funcPr>
              <m:ctrl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6E1744" w:rsidRPr="00A545CE" w:rsidRDefault="006E1744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6E1744">
        <w:rPr>
          <w:rFonts w:eastAsia="Times New Roman" w:cs="Times New Roman"/>
          <w:color w:val="000000"/>
          <w:sz w:val="20"/>
          <w:szCs w:val="20"/>
          <w:lang w:eastAsia="es-ES"/>
        </w:rPr>
        <w:t>Así, el sonido umbral </w:t>
      </w:r>
      <w:r w:rsidR="00463E9B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I</w:t>
      </w:r>
      <w:r w:rsidR="00463E9B" w:rsidRPr="00A545CE">
        <w:rPr>
          <w:rFonts w:eastAsia="Times New Roman" w:cs="Times New Roman"/>
          <w:color w:val="000000"/>
          <w:sz w:val="20"/>
          <w:szCs w:val="20"/>
          <w:vertAlign w:val="subscript"/>
          <w:lang w:val="es-ES_tradnl" w:eastAsia="es-ES"/>
        </w:rPr>
        <w:t xml:space="preserve">0 </w:t>
      </w:r>
      <w:r w:rsidRPr="006E1744">
        <w:rPr>
          <w:rFonts w:eastAsia="Times New Roman" w:cs="Times New Roman"/>
          <w:color w:val="000000"/>
          <w:sz w:val="20"/>
          <w:szCs w:val="20"/>
          <w:lang w:eastAsia="es-ES"/>
        </w:rPr>
        <w:t>corresponde a 0 decibelios y un tráfico muy intenso a</w:t>
      </w:r>
    </w:p>
    <w:p w:rsidR="00463E9B" w:rsidRPr="006E1744" w:rsidRDefault="00463E9B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10</m:t>
          </m:r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∙</m:t>
          </m:r>
          <m:func>
            <m:funcPr>
              <m:ctrl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m:t>12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=10</m:t>
          </m:r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∙</m:t>
          </m:r>
          <m:func>
            <m:funcPr>
              <m:ctrl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m:t>8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=10</m:t>
          </m:r>
          <m:d>
            <m:dPr>
              <m:ctrl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cs="Times New Roman"/>
                  <w:color w:val="000000"/>
                  <w:sz w:val="20"/>
                  <w:szCs w:val="20"/>
                  <w:lang w:eastAsia="es-ES"/>
                </w:rPr>
                <m:t>8+</m:t>
              </m:r>
              <m:func>
                <m:funcPr>
                  <m:ctrl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m:t>8</m:t>
                  </m:r>
                </m:e>
              </m:func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eastAsia="es-ES"/>
            </w:rPr>
            <m:t>≅</m:t>
          </m:r>
          <m:r>
            <m:rPr>
              <m:sty m:val="p"/>
            </m:rPr>
            <w:rPr>
              <w:rFonts w:ascii="Cambria Math" w:eastAsia="Times New Roman" w:cs="Times New Roman"/>
              <w:color w:val="000000"/>
              <w:sz w:val="20"/>
              <w:szCs w:val="20"/>
              <w:lang w:eastAsia="es-ES"/>
            </w:rPr>
            <m:t>89 decibelios</m:t>
          </m:r>
        </m:oMath>
      </m:oMathPara>
    </w:p>
    <w:p w:rsidR="00DA34C6" w:rsidRPr="00A545CE" w:rsidRDefault="00DA34C6" w:rsidP="00A545CE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A545CE">
        <w:rPr>
          <w:sz w:val="20"/>
          <w:szCs w:val="20"/>
        </w:rPr>
        <w:t xml:space="preserve">¿Por qué multiplicar por 10? Porque de 4 a 4,1 hay una diferencia perceptible (aunque muy poco) por el oído humano. Por eso el decibelio es más “natural” que el belio.  Y no olvides la regla de </w:t>
      </w:r>
      <w:r w:rsidR="00F37145">
        <w:rPr>
          <w:sz w:val="20"/>
          <w:szCs w:val="20"/>
        </w:rPr>
        <w:t>oro del volumen sonoro: s</w:t>
      </w:r>
      <w:r w:rsidRPr="00A545CE">
        <w:rPr>
          <w:sz w:val="20"/>
          <w:szCs w:val="20"/>
        </w:rPr>
        <w:t>e precisa multiplicar por 10 la intensidad de un sonido para que sea apreciado como el doble de fuerte (10 motos hacen “el doble “de ruido que una).</w:t>
      </w:r>
    </w:p>
    <w:p w:rsidR="00A545CE" w:rsidRPr="00A545CE" w:rsidRDefault="00A545CE" w:rsidP="00A545CE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A545CE">
        <w:rPr>
          <w:b/>
          <w:sz w:val="20"/>
          <w:szCs w:val="20"/>
        </w:rPr>
        <w:t>Logaritmos y terremotos.</w:t>
      </w:r>
    </w:p>
    <w:p w:rsidR="00DA34C6" w:rsidRPr="00DA34C6" w:rsidRDefault="00DA34C6" w:rsidP="00A545CE">
      <w:pPr>
        <w:spacing w:after="0" w:line="240" w:lineRule="auto"/>
        <w:ind w:left="69" w:hanging="69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Una primera medida de la intensidad de los terremotos son los daños que ocasiona. Para lograr una caracterización más precisa, se han desarrollado diversas escalas. Ahora bien, hay una dificultad: parece lógico medir los </w:t>
      </w:r>
      <w:r w:rsidR="00A545CE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seísmos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por la energía que liberan, pero estas energías son números </w:t>
      </w:r>
      <w:r w:rsidR="00A545CE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en ocasiones 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enormes. Baste decir que hay terremotos cien mil millones de veces más fuertes que otros, y por otro lado que uno no muy intenso (magnitud 5,5) libera tanta energía como la explosión nuclear de 10 kilotones realizada en Bikini en 1946.</w:t>
      </w:r>
    </w:p>
    <w:p w:rsidR="00DA34C6" w:rsidRPr="00DA34C6" w:rsidRDefault="00DA34C6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lastRenderedPageBreak/>
        <w:t>Para evitar esos números tan grandes, igual que ocurre para medir los sonidos, las escalas usan logaritmos.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bCs/>
          <w:color w:val="000000"/>
          <w:sz w:val="20"/>
          <w:szCs w:val="20"/>
          <w:lang w:val="es-ES_tradnl" w:eastAsia="es-ES"/>
        </w:rPr>
        <w:t>La escala</w:t>
      </w:r>
      <w:r w:rsidRPr="00A545CE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más utilizada la introdujo en 1935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C. Richter</w:t>
      </w:r>
      <w:r w:rsidRPr="00A545CE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(1900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noBreakHyphen/>
        <w:t>1985) y define la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bCs/>
          <w:color w:val="000000"/>
          <w:sz w:val="20"/>
          <w:szCs w:val="20"/>
          <w:lang w:val="es-ES_tradnl" w:eastAsia="es-ES"/>
        </w:rPr>
        <w:t>magnitud</w:t>
      </w:r>
      <w:r w:rsidRPr="00A545CE">
        <w:rPr>
          <w:rFonts w:eastAsia="Times New Roman" w:cs="Times New Roman"/>
          <w:b/>
          <w:bCs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M de un terremoto en función de la amplitud A de sus ondas superficiales así:</w:t>
      </w:r>
    </w:p>
    <w:p w:rsidR="00A545CE" w:rsidRDefault="00DA34C6" w:rsidP="00A545CE">
      <w:pPr>
        <w:spacing w:after="0" w:line="240" w:lineRule="auto"/>
        <w:ind w:firstLine="215"/>
        <w:jc w:val="center"/>
        <w:rPr>
          <w:rFonts w:eastAsia="Times New Roman" w:cs="Times New Roman"/>
          <w:color w:val="000000"/>
          <w:sz w:val="20"/>
          <w:szCs w:val="20"/>
          <w:lang w:val="es-ES_tradnl" w:eastAsia="es-ES"/>
        </w:rPr>
      </w:pP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M = log A + C</w:t>
      </w:r>
    </w:p>
    <w:p w:rsidR="00DA34C6" w:rsidRPr="00DA34C6" w:rsidRDefault="00A545CE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  <w:proofErr w:type="gramStart"/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donde</w:t>
      </w:r>
      <w:proofErr w:type="gramEnd"/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C = 3,3+ 1,66 log</w:t>
      </w:r>
      <w:r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Pr="00DA34C6">
        <w:rPr>
          <w:rFonts w:eastAsia="Times New Roman" w:cs="Times New Roman"/>
          <w:i/>
          <w:iCs/>
          <w:color w:val="000000"/>
          <w:sz w:val="20"/>
          <w:szCs w:val="20"/>
          <w:lang w:val="es-ES_tradnl" w:eastAsia="es-ES"/>
        </w:rPr>
        <w:t xml:space="preserve">D </w:t>
      </w:r>
      <w:r w:rsidRPr="00DA34C6">
        <w:rPr>
          <w:rFonts w:eastAsia="Times New Roman" w:cs="Times New Roman"/>
          <w:i/>
          <w:iCs/>
          <w:color w:val="000000"/>
          <w:sz w:val="20"/>
          <w:szCs w:val="20"/>
          <w:lang w:val="es-ES_tradnl" w:eastAsia="es-ES"/>
        </w:rPr>
        <w:noBreakHyphen/>
        <w:t xml:space="preserve"> l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og T  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es una constante que depende del período T de las ondas re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softHyphen/>
        <w:t>gistradas en el sismógrafo y de la distancia</w:t>
      </w:r>
      <w:r w:rsidR="00DA34C6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="00DA34C6" w:rsidRPr="00DA34C6">
        <w:rPr>
          <w:rFonts w:eastAsia="Times New Roman" w:cs="Times New Roman"/>
          <w:i/>
          <w:iCs/>
          <w:color w:val="000000"/>
          <w:sz w:val="20"/>
          <w:szCs w:val="20"/>
          <w:lang w:val="es-ES_tradnl" w:eastAsia="es-ES"/>
        </w:rPr>
        <w:t>D</w:t>
      </w:r>
      <w:r w:rsidR="00DA34C6" w:rsidRPr="00A545CE">
        <w:rPr>
          <w:rFonts w:eastAsia="Times New Roman" w:cs="Times New Roman"/>
          <w:i/>
          <w:iCs/>
          <w:color w:val="000000"/>
          <w:sz w:val="20"/>
          <w:szCs w:val="20"/>
          <w:lang w:val="es-ES_tradnl" w:eastAsia="es-ES"/>
        </w:rPr>
        <w:t> 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de éste al epicentro, en grados a</w:t>
      </w:r>
      <w:r>
        <w:rPr>
          <w:rFonts w:eastAsia="Times New Roman" w:cs="Times New Roman"/>
          <w:color w:val="000000"/>
          <w:sz w:val="20"/>
          <w:szCs w:val="20"/>
          <w:lang w:val="es-ES_tradnl" w:eastAsia="es-ES"/>
        </w:rPr>
        <w:t>ngulares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. Es muy importante darse cuenta de que la magnitud M es una medida logarítmica. Eso hace que la diferencia en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softHyphen/>
        <w:t xml:space="preserve">tre dos </w:t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seísmos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de magnitudes</w:t>
      </w:r>
      <w:r w:rsidR="00DA34C6" w:rsidRP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="00DA34C6" w:rsidRPr="00DA34C6">
        <w:rPr>
          <w:rFonts w:eastAsia="Times New Roman" w:cs="Times New Roman"/>
          <w:i/>
          <w:iCs/>
          <w:color w:val="000000"/>
          <w:sz w:val="20"/>
          <w:szCs w:val="20"/>
          <w:lang w:val="es-ES_tradnl" w:eastAsia="es-ES"/>
        </w:rPr>
        <w:t>M</w:t>
      </w:r>
      <w:r>
        <w:rPr>
          <w:rFonts w:eastAsia="Times New Roman" w:cs="Times New Roman"/>
          <w:i/>
          <w:iCs/>
          <w:noProof/>
          <w:color w:val="000000"/>
          <w:sz w:val="20"/>
          <w:szCs w:val="20"/>
          <w:vertAlign w:val="subscript"/>
          <w:lang w:eastAsia="es-ES"/>
        </w:rPr>
        <w:t>1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= 6 y M</w:t>
      </w:r>
      <w:r>
        <w:rPr>
          <w:rFonts w:eastAsia="Times New Roman" w:cs="Times New Roman"/>
          <w:noProof/>
          <w:color w:val="000000"/>
          <w:sz w:val="20"/>
          <w:szCs w:val="20"/>
          <w:vertAlign w:val="subscript"/>
          <w:lang w:eastAsia="es-ES"/>
        </w:rPr>
        <w:t>2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= 8, que dicho así no parece muy grande, significa en</w:t>
      </w:r>
      <w:r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realidad que en un caso  log (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A</w:t>
      </w:r>
      <w:r>
        <w:rPr>
          <w:rFonts w:eastAsia="Times New Roman" w:cs="Times New Roman"/>
          <w:noProof/>
          <w:color w:val="000000"/>
          <w:sz w:val="20"/>
          <w:szCs w:val="20"/>
          <w:vertAlign w:val="subscript"/>
          <w:lang w:eastAsia="es-ES"/>
        </w:rPr>
        <w:t>1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)+ C = 6, y en el otro log (A</w:t>
      </w:r>
      <w:r>
        <w:rPr>
          <w:rFonts w:eastAsia="Times New Roman" w:cs="Times New Roman"/>
          <w:noProof/>
          <w:color w:val="000000"/>
          <w:sz w:val="20"/>
          <w:szCs w:val="20"/>
          <w:vertAlign w:val="subscript"/>
          <w:lang w:eastAsia="es-ES"/>
        </w:rPr>
        <w:t>2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) + C = 8.</w:t>
      </w:r>
    </w:p>
    <w:p w:rsidR="00DA34C6" w:rsidRPr="00DA34C6" w:rsidRDefault="00DA34C6" w:rsidP="00A545CE">
      <w:pPr>
        <w:spacing w:after="0" w:line="240" w:lineRule="auto"/>
        <w:ind w:firstLine="215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 Restando</w:t>
      </w:r>
      <w:r w:rsid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, </w:t>
      </w:r>
      <w:r w:rsid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br/>
      </w: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s-ES_tradnl" w:eastAsia="es-ES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1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s-ES_tradnl" w:eastAsia="es-ES"/>
            </w:rPr>
            <m:t>=2</m:t>
          </m:r>
          <m:box>
            <m:boxPr>
              <m:opEmu m:val="on"/>
              <m:ctrl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val="es-ES_tradnl" w:eastAsia="es-ES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es-ES_tradnl" w:eastAsia="es-ES"/>
            </w:rPr>
            <m:t>=2</m:t>
          </m:r>
          <m:box>
            <m:boxPr>
              <m:opEmu m:val="on"/>
              <m:ctrl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>=100</m:t>
              </m:r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s-ES_tradnl" w:eastAsia="es-ES"/>
                        </w:rPr>
                      </m:ctrlPr>
                    </m:groupChrPr>
                    <m:e/>
                  </m:groupChr>
                </m:e>
              </m:box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s-ES_tradnl" w:eastAsia="es-ES"/>
                </w:rPr>
                <m:t>=100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s-ES_tradnl" w:eastAsia="es-ES"/>
                    </w:rPr>
                    <m:t>1</m:t>
                  </m:r>
                </m:sub>
              </m:sSub>
            </m:e>
          </m:box>
        </m:oMath>
      </m:oMathPara>
      <w:r w:rsidR="00A545CE">
        <w:rPr>
          <w:rFonts w:eastAsia="Times New Roman" w:cs="Times New Roman"/>
          <w:color w:val="000000"/>
          <w:sz w:val="20"/>
          <w:szCs w:val="20"/>
          <w:lang w:val="es-ES_tradnl" w:eastAsia="es-ES"/>
        </w:rPr>
        <w:br/>
      </w:r>
      <w:r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   ¡100 veces más intenso!</w:t>
      </w:r>
    </w:p>
    <w:p w:rsidR="00DA34C6" w:rsidRPr="00DA34C6" w:rsidRDefault="00DA34C6" w:rsidP="00A545CE">
      <w:pPr>
        <w:spacing w:after="0" w:line="240" w:lineRule="auto"/>
        <w:ind w:firstLine="215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DA34C6">
        <w:rPr>
          <w:rFonts w:eastAsia="Times New Roman" w:cs="Times New Roman"/>
          <w:color w:val="000000"/>
          <w:sz w:val="20"/>
          <w:szCs w:val="20"/>
          <w:lang w:eastAsia="es-ES"/>
        </w:rPr>
        <w:t> </w:t>
      </w:r>
    </w:p>
    <w:p w:rsidR="00DA34C6" w:rsidRDefault="00A545CE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s-ES_tradnl" w:eastAsia="es-ES"/>
        </w:rPr>
      </w:pPr>
      <w:r>
        <w:rPr>
          <w:rFonts w:eastAsia="Times New Roman" w:cs="Times New Roman"/>
          <w:color w:val="000000"/>
          <w:sz w:val="20"/>
          <w:szCs w:val="20"/>
          <w:lang w:val="es-ES_tradnl" w:eastAsia="es-ES"/>
        </w:rPr>
        <w:t> 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Al ser logarítmica la magnitud M, una diferencia de 1 unidad en magnitud significa 10 veces más de amplitud en la onda sísmica registrada, lo cual puede ser catastrófico en sus efectos.  Un terremoto de magnitud 1 o  2 es muy débil, y los de magnitud mayor que 7 devastadores. El más fuerte registrado en España tuvo lugar en Granada en 1884,</w:t>
      </w:r>
      <w:r>
        <w:rPr>
          <w:rFonts w:eastAsia="Times New Roman" w:cs="Times New Roman"/>
          <w:color w:val="000000"/>
          <w:sz w:val="20"/>
          <w:szCs w:val="20"/>
          <w:lang w:val="es-ES_tradnl" w:eastAsia="es-ES"/>
        </w:rPr>
        <w:t xml:space="preserve"> </w:t>
      </w:r>
      <w:r w:rsidR="00DA34C6" w:rsidRPr="00DA34C6">
        <w:rPr>
          <w:rFonts w:eastAsia="Times New Roman" w:cs="Times New Roman"/>
          <w:color w:val="000000"/>
          <w:sz w:val="20"/>
          <w:szCs w:val="20"/>
          <w:lang w:val="es-ES_tradnl" w:eastAsia="es-ES"/>
        </w:rPr>
        <w:t>con una magnitud 6,7 en la escala Richter. El de San Francisco de 1906 tuvo magnitud 8,25.</w:t>
      </w:r>
    </w:p>
    <w:p w:rsidR="00F37145" w:rsidRPr="00DA34C6" w:rsidRDefault="00F37145" w:rsidP="00A545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ES"/>
        </w:rPr>
      </w:pPr>
    </w:p>
    <w:p w:rsidR="00DA34C6" w:rsidRDefault="00DA34C6" w:rsidP="00A545C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s-ES"/>
        </w:rPr>
      </w:pPr>
      <w:r w:rsidRPr="00DA34C6">
        <w:rPr>
          <w:rFonts w:eastAsia="Times New Roman" w:cs="Times New Roman"/>
          <w:b/>
          <w:color w:val="000000"/>
          <w:sz w:val="20"/>
          <w:szCs w:val="20"/>
          <w:lang w:eastAsia="es-ES"/>
        </w:rPr>
        <w:t> </w:t>
      </w:r>
      <w:r w:rsidR="00F37145" w:rsidRPr="00F37145">
        <w:rPr>
          <w:rFonts w:eastAsia="Times New Roman" w:cs="Times New Roman"/>
          <w:b/>
          <w:color w:val="000000"/>
          <w:sz w:val="20"/>
          <w:szCs w:val="20"/>
          <w:lang w:eastAsia="es-ES"/>
        </w:rPr>
        <w:t>El pH</w:t>
      </w:r>
    </w:p>
    <w:p w:rsidR="00E77A03" w:rsidRDefault="00E77A03" w:rsidP="00A545C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s-ES"/>
        </w:rPr>
      </w:pPr>
    </w:p>
    <w:p w:rsid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37145">
        <w:rPr>
          <w:rFonts w:eastAsia="Times New Roman" w:cs="Times New Roman"/>
          <w:sz w:val="20"/>
          <w:szCs w:val="20"/>
          <w:lang w:eastAsia="es-ES"/>
        </w:rPr>
        <w:t>El </w:t>
      </w:r>
      <w:r w:rsidRPr="00F37145">
        <w:rPr>
          <w:rFonts w:eastAsia="Times New Roman" w:cs="Times New Roman"/>
          <w:bCs/>
          <w:sz w:val="20"/>
          <w:szCs w:val="20"/>
          <w:lang w:eastAsia="es-ES"/>
        </w:rPr>
        <w:t>pH</w:t>
      </w:r>
      <w:r w:rsidRPr="00F37145">
        <w:rPr>
          <w:rFonts w:eastAsia="Times New Roman" w:cs="Times New Roman"/>
          <w:sz w:val="20"/>
          <w:szCs w:val="20"/>
          <w:lang w:eastAsia="es-ES"/>
        </w:rPr>
        <w:t> es una medida de </w:t>
      </w:r>
      <w:hyperlink r:id="rId6" w:tooltip="Acidez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acidez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o </w:t>
      </w:r>
      <w:hyperlink r:id="rId7" w:tooltip="Base (química)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alcalinidad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de una </w:t>
      </w:r>
      <w:hyperlink r:id="rId8" w:tooltip="Disolución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disolución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. El pH indica la concentración de iones </w:t>
      </w:r>
      <w:hyperlink r:id="rId9" w:tooltip="Hidronio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hidronio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[H</w:t>
      </w:r>
      <w:r w:rsidRPr="00F37145">
        <w:rPr>
          <w:rFonts w:eastAsia="Times New Roman" w:cs="Times New Roman"/>
          <w:sz w:val="20"/>
          <w:szCs w:val="20"/>
          <w:vertAlign w:val="subscript"/>
          <w:lang w:eastAsia="es-ES"/>
        </w:rPr>
        <w:t>3</w:t>
      </w:r>
      <w:r w:rsidRPr="00F37145">
        <w:rPr>
          <w:rFonts w:eastAsia="Times New Roman" w:cs="Times New Roman"/>
          <w:sz w:val="20"/>
          <w:szCs w:val="20"/>
          <w:lang w:eastAsia="es-ES"/>
        </w:rPr>
        <w:t>O]</w:t>
      </w:r>
      <w:r w:rsidRPr="00F37145">
        <w:rPr>
          <w:rFonts w:eastAsia="Times New Roman" w:cs="Times New Roman"/>
          <w:sz w:val="20"/>
          <w:szCs w:val="20"/>
          <w:vertAlign w:val="superscript"/>
          <w:lang w:eastAsia="es-ES"/>
        </w:rPr>
        <w:t>+</w:t>
      </w:r>
      <w:r w:rsidRPr="00F37145">
        <w:rPr>
          <w:rFonts w:eastAsia="Times New Roman" w:cs="Times New Roman"/>
          <w:sz w:val="20"/>
          <w:szCs w:val="20"/>
          <w:lang w:eastAsia="es-ES"/>
        </w:rPr>
        <w:t> presentes en determinadas disoluciones.</w:t>
      </w:r>
      <w:r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Pr="00F37145">
        <w:rPr>
          <w:rFonts w:eastAsia="Times New Roman" w:cs="Times New Roman"/>
          <w:sz w:val="20"/>
          <w:szCs w:val="20"/>
          <w:lang w:eastAsia="es-ES"/>
        </w:rPr>
        <w:t>La sigla significa ‘</w:t>
      </w:r>
      <w:r w:rsidRPr="00F37145">
        <w:rPr>
          <w:rFonts w:eastAsia="Times New Roman" w:cs="Times New Roman"/>
          <w:bCs/>
          <w:sz w:val="20"/>
          <w:szCs w:val="20"/>
          <w:lang w:eastAsia="es-ES"/>
        </w:rPr>
        <w:t>potencial hidrógeno</w:t>
      </w:r>
      <w:r>
        <w:rPr>
          <w:rFonts w:eastAsia="Times New Roman" w:cs="Times New Roman"/>
          <w:sz w:val="20"/>
          <w:szCs w:val="20"/>
          <w:lang w:eastAsia="es-ES"/>
        </w:rPr>
        <w:t>’.</w:t>
      </w:r>
    </w:p>
    <w:p w:rsidR="00F37145" w:rsidRP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p w:rsidR="00F37145" w:rsidRP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37145">
        <w:rPr>
          <w:rFonts w:eastAsia="Times New Roman" w:cs="Times New Roman"/>
          <w:sz w:val="20"/>
          <w:szCs w:val="20"/>
          <w:lang w:eastAsia="es-ES"/>
        </w:rPr>
        <w:t>Este término fue acuñado por el </w:t>
      </w:r>
      <w:hyperlink r:id="rId10" w:tooltip="Química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químico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</w:t>
      </w:r>
      <w:proofErr w:type="spellStart"/>
      <w:r w:rsidRPr="00F37145">
        <w:rPr>
          <w:rFonts w:eastAsia="Times New Roman" w:cs="Times New Roman"/>
          <w:sz w:val="20"/>
          <w:szCs w:val="20"/>
          <w:lang w:eastAsia="es-ES"/>
        </w:rPr>
        <w:fldChar w:fldCharType="begin"/>
      </w:r>
      <w:r w:rsidRPr="00F37145">
        <w:rPr>
          <w:rFonts w:eastAsia="Times New Roman" w:cs="Times New Roman"/>
          <w:sz w:val="20"/>
          <w:szCs w:val="20"/>
          <w:lang w:eastAsia="es-ES"/>
        </w:rPr>
        <w:instrText xml:space="preserve"> HYPERLINK "https://es.wikipedia.org/wiki/Dinamarca" \o "Dinamarca" </w:instrText>
      </w:r>
      <w:r w:rsidRPr="00F37145">
        <w:rPr>
          <w:rFonts w:eastAsia="Times New Roman" w:cs="Times New Roman"/>
          <w:sz w:val="20"/>
          <w:szCs w:val="20"/>
          <w:lang w:eastAsia="es-ES"/>
        </w:rPr>
        <w:fldChar w:fldCharType="separate"/>
      </w:r>
      <w:r w:rsidRPr="00F37145">
        <w:rPr>
          <w:rStyle w:val="Hipervnculo"/>
          <w:rFonts w:eastAsia="Times New Roman" w:cs="Times New Roman"/>
          <w:color w:val="auto"/>
          <w:sz w:val="20"/>
          <w:szCs w:val="20"/>
          <w:u w:val="none"/>
          <w:lang w:eastAsia="es-ES"/>
        </w:rPr>
        <w:t>danés</w:t>
      </w:r>
      <w:r w:rsidRPr="00F37145">
        <w:rPr>
          <w:rFonts w:eastAsia="Times New Roman" w:cs="Times New Roman"/>
          <w:sz w:val="20"/>
          <w:szCs w:val="20"/>
          <w:lang w:eastAsia="es-ES"/>
        </w:rPr>
        <w:fldChar w:fldCharType="end"/>
      </w:r>
      <w:hyperlink r:id="rId11" w:tooltip="S. P. L. Sørensen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S</w:t>
        </w:r>
        <w:proofErr w:type="spellEnd"/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. P. L. </w:t>
        </w:r>
        <w:proofErr w:type="spellStart"/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Sørensen</w:t>
        </w:r>
        <w:proofErr w:type="spellEnd"/>
      </w:hyperlink>
      <w:r w:rsidRPr="00F37145">
        <w:rPr>
          <w:rFonts w:eastAsia="Times New Roman" w:cs="Times New Roman"/>
          <w:sz w:val="20"/>
          <w:szCs w:val="20"/>
          <w:lang w:eastAsia="es-ES"/>
        </w:rPr>
        <w:t xml:space="preserve"> (1868-1939), quien lo definió en 1909 como </w:t>
      </w:r>
    </w:p>
    <w:p w:rsidR="00F37145" w:rsidRP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es-ES"/>
            </w:rPr>
            <m:t>pH</m:t>
          </m:r>
          <m:r>
            <m:rPr>
              <m:sty m:val="p"/>
            </m:rPr>
            <w:rPr>
              <w:rFonts w:ascii="Cambria Math" w:eastAsia="Times New Roman" w:cs="Times New Roman"/>
              <w:sz w:val="20"/>
              <w:szCs w:val="20"/>
              <w:lang w:eastAsia="es-ES"/>
            </w:rPr>
            <m:t>=</m:t>
          </m:r>
          <m:r>
            <m:rPr>
              <m:sty m:val="p"/>
            </m:rPr>
            <w:rPr>
              <w:rFonts w:ascii="Cambria Math" w:eastAsia="Times New Roman" w:cs="Times New Roman"/>
              <w:sz w:val="20"/>
              <w:szCs w:val="20"/>
              <w:lang w:eastAsia="es-ES"/>
            </w:rPr>
            <m:t>-</m:t>
          </m:r>
          <m:func>
            <m:funcPr>
              <m:ctrlPr>
                <w:rPr>
                  <w:rFonts w:ascii="Cambria Math" w:eastAsia="Times New Roman" w:cs="Times New Roman"/>
                  <w:sz w:val="20"/>
                  <w:szCs w:val="20"/>
                  <w:lang w:eastAsia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cs="Times New Roman"/>
                  <w:sz w:val="20"/>
                  <w:szCs w:val="20"/>
                  <w:lang w:eastAsia="es-ES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cs="Times New Roman"/>
                      <w:sz w:val="20"/>
                      <w:szCs w:val="20"/>
                      <w:lang w:eastAsia="es-E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cs="Times New Roman"/>
                          <w:sz w:val="20"/>
                          <w:szCs w:val="20"/>
                          <w:lang w:eastAsia="es-E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es-ES"/>
                        </w:rPr>
                        <m:t>a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cs="Times New Roman"/>
                              <w:sz w:val="20"/>
                              <w:szCs w:val="20"/>
                              <w:lang w:eastAsia="es-E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es-ES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cs="Times New Roman"/>
                              <w:sz w:val="20"/>
                              <w:szCs w:val="20"/>
                              <w:lang w:eastAsia="es-ES"/>
                            </w:rPr>
                            <m:t>+</m:t>
                          </m:r>
                        </m:sup>
                      </m:sSup>
                    </m:sub>
                  </m:sSub>
                </m:e>
              </m:d>
            </m:e>
          </m:func>
        </m:oMath>
      </m:oMathPara>
    </w:p>
    <w:p w:rsidR="00F37145" w:rsidRP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37145">
        <w:rPr>
          <w:rFonts w:eastAsia="Times New Roman" w:cs="Times New Roman"/>
          <w:sz w:val="20"/>
          <w:szCs w:val="20"/>
          <w:lang w:eastAsia="es-ES"/>
        </w:rPr>
        <w:t xml:space="preserve">Donde </w:t>
      </w:r>
      <m:oMath>
        <m:sSub>
          <m:sSubPr>
            <m:ctrlPr>
              <w:rPr>
                <w:rFonts w:ascii="Cambria Math" w:eastAsia="Times New Roman" w:cs="Times New Roman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es-ES"/>
              </w:rPr>
              <m:t>a</m:t>
            </m:r>
          </m:e>
          <m:sub>
            <m:sSup>
              <m:sSupPr>
                <m:ctrlPr>
                  <w:rPr>
                    <w:rFonts w:ascii="Cambria Math" w:eastAsia="Times New Roman" w:cs="Times New Roman"/>
                    <w:i/>
                    <w:sz w:val="20"/>
                    <w:szCs w:val="20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es-ES"/>
                  </w:rPr>
                  <m:t>H</m:t>
                </m:r>
              </m:e>
              <m:sup>
                <m:r>
                  <w:rPr>
                    <w:rFonts w:ascii="Cambria Math" w:eastAsia="Times New Roman" w:cs="Times New Roman"/>
                    <w:sz w:val="20"/>
                    <w:szCs w:val="20"/>
                    <w:lang w:eastAsia="es-ES"/>
                  </w:rPr>
                  <m:t>+</m:t>
                </m:r>
              </m:sup>
            </m:sSup>
          </m:sub>
        </m:sSub>
      </m:oMath>
      <w:r w:rsidRPr="00F37145">
        <w:rPr>
          <w:rFonts w:eastAsia="Times New Roman" w:cs="Times New Roman"/>
          <w:sz w:val="20"/>
          <w:szCs w:val="20"/>
          <w:lang w:eastAsia="es-ES"/>
        </w:rPr>
        <w:t xml:space="preserve"> denota la </w:t>
      </w:r>
      <w:hyperlink r:id="rId12" w:tooltip="Actividad (química)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actividad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de los </w:t>
      </w:r>
      <w:hyperlink r:id="rId13" w:tooltip="Ion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iones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hidrógeno.</w:t>
      </w:r>
    </w:p>
    <w:p w:rsidR="00F37145" w:rsidRPr="00F37145" w:rsidRDefault="00F37145" w:rsidP="00F37145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p w:rsidR="00F37145" w:rsidRPr="00F37145" w:rsidRDefault="00F37145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37145">
        <w:rPr>
          <w:rFonts w:eastAsia="Times New Roman" w:cs="Times New Roman"/>
          <w:sz w:val="20"/>
          <w:szCs w:val="20"/>
          <w:lang w:eastAsia="es-ES"/>
        </w:rPr>
        <w:t>Por ejemplo, una concentración de [H</w:t>
      </w:r>
      <w:r w:rsidRPr="00F37145">
        <w:rPr>
          <w:rFonts w:eastAsia="Times New Roman" w:cs="Times New Roman"/>
          <w:sz w:val="20"/>
          <w:szCs w:val="20"/>
          <w:vertAlign w:val="subscript"/>
          <w:lang w:eastAsia="es-ES"/>
        </w:rPr>
        <w:t>3</w:t>
      </w:r>
      <w:r w:rsidRPr="00F37145">
        <w:rPr>
          <w:rFonts w:eastAsia="Times New Roman" w:cs="Times New Roman"/>
          <w:sz w:val="20"/>
          <w:szCs w:val="20"/>
          <w:lang w:eastAsia="es-ES"/>
        </w:rPr>
        <w:t>O</w:t>
      </w:r>
      <w:r w:rsidRPr="00F37145">
        <w:rPr>
          <w:rFonts w:eastAsia="Times New Roman" w:cs="Times New Roman"/>
          <w:sz w:val="20"/>
          <w:szCs w:val="20"/>
          <w:vertAlign w:val="superscript"/>
          <w:lang w:eastAsia="es-ES"/>
        </w:rPr>
        <w:t>+</w:t>
      </w:r>
      <w:r w:rsidRPr="00F37145">
        <w:rPr>
          <w:rFonts w:eastAsia="Times New Roman" w:cs="Times New Roman"/>
          <w:sz w:val="20"/>
          <w:szCs w:val="20"/>
          <w:lang w:eastAsia="es-ES"/>
        </w:rPr>
        <w:t>] = 1 × 10</w:t>
      </w:r>
      <w:r w:rsidRPr="00F37145">
        <w:rPr>
          <w:rFonts w:eastAsia="Times New Roman" w:cs="Times New Roman"/>
          <w:sz w:val="20"/>
          <w:szCs w:val="20"/>
          <w:vertAlign w:val="superscript"/>
          <w:lang w:eastAsia="es-ES"/>
        </w:rPr>
        <w:t>−7</w:t>
      </w:r>
      <w:r w:rsidRPr="00F37145">
        <w:rPr>
          <w:rFonts w:eastAsia="Times New Roman" w:cs="Times New Roman"/>
          <w:sz w:val="20"/>
          <w:szCs w:val="20"/>
          <w:lang w:eastAsia="es-ES"/>
        </w:rPr>
        <w:t> M (0,0000001) es simplemente un pH de 7, ya que pH = –</w:t>
      </w:r>
      <w:proofErr w:type="gramStart"/>
      <w:r w:rsidRPr="00F37145">
        <w:rPr>
          <w:rFonts w:eastAsia="Times New Roman" w:cs="Times New Roman"/>
          <w:sz w:val="20"/>
          <w:szCs w:val="20"/>
          <w:lang w:eastAsia="es-ES"/>
        </w:rPr>
        <w:t>log[</w:t>
      </w:r>
      <w:proofErr w:type="gramEnd"/>
      <w:r w:rsidRPr="00F37145">
        <w:rPr>
          <w:rFonts w:eastAsia="Times New Roman" w:cs="Times New Roman"/>
          <w:sz w:val="20"/>
          <w:szCs w:val="20"/>
          <w:lang w:eastAsia="es-ES"/>
        </w:rPr>
        <w:t>10</w:t>
      </w:r>
      <w:r w:rsidRPr="00F37145">
        <w:rPr>
          <w:rFonts w:eastAsia="Times New Roman" w:cs="Times New Roman"/>
          <w:sz w:val="20"/>
          <w:szCs w:val="20"/>
          <w:vertAlign w:val="superscript"/>
          <w:lang w:eastAsia="es-ES"/>
        </w:rPr>
        <w:t>−7</w:t>
      </w:r>
      <w:r w:rsidRPr="00F37145">
        <w:rPr>
          <w:rFonts w:eastAsia="Times New Roman" w:cs="Times New Roman"/>
          <w:sz w:val="20"/>
          <w:szCs w:val="20"/>
          <w:lang w:eastAsia="es-ES"/>
        </w:rPr>
        <w:t>] = 7</w:t>
      </w:r>
    </w:p>
    <w:p w:rsidR="00F37145" w:rsidRPr="00F37145" w:rsidRDefault="00F37145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F37145">
        <w:rPr>
          <w:rFonts w:eastAsia="Times New Roman" w:cs="Times New Roman"/>
          <w:sz w:val="20"/>
          <w:szCs w:val="20"/>
          <w:lang w:eastAsia="es-ES"/>
        </w:rPr>
        <w:t>En disolución acuosa, la </w:t>
      </w:r>
      <w:r w:rsidRPr="00F37145">
        <w:rPr>
          <w:rFonts w:eastAsia="Times New Roman" w:cs="Times New Roman"/>
          <w:bCs/>
          <w:sz w:val="20"/>
          <w:szCs w:val="20"/>
          <w:lang w:eastAsia="es-ES"/>
        </w:rPr>
        <w:t>escala de pH</w:t>
      </w:r>
      <w:r w:rsidRPr="00F37145">
        <w:rPr>
          <w:rFonts w:eastAsia="Times New Roman" w:cs="Times New Roman"/>
          <w:sz w:val="20"/>
          <w:szCs w:val="20"/>
          <w:lang w:eastAsia="es-ES"/>
        </w:rPr>
        <w:t> varía, típicamente, de 0 a 14. Son </w:t>
      </w:r>
      <w:hyperlink r:id="rId14" w:tooltip="Ácido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ácidas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las disoluciones con pH menores que 7 (el valor del exponente de la concentración es mayor, porque hay más iones en la disolución) y </w:t>
      </w:r>
      <w:hyperlink r:id="rId15" w:tooltip="Base (química)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alcalinas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 las de pH superiores a 7. Si el disolvente es agua, el pH = 7 indica neutralidad de la disolución.</w:t>
      </w:r>
    </w:p>
    <w:p w:rsidR="00F37145" w:rsidRPr="00F37145" w:rsidRDefault="00F37145" w:rsidP="00F37145">
      <w:pPr>
        <w:tabs>
          <w:tab w:val="num" w:pos="720"/>
        </w:tabs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F37145">
        <w:rPr>
          <w:rFonts w:eastAsia="Times New Roman" w:cs="Times New Roman"/>
          <w:sz w:val="20"/>
          <w:szCs w:val="20"/>
          <w:lang w:eastAsia="es-ES"/>
        </w:rPr>
        <w:t>pH</w:t>
      </w:r>
      <w:proofErr w:type="gramEnd"/>
      <w:r w:rsidRPr="00F37145">
        <w:rPr>
          <w:rFonts w:eastAsia="Times New Roman" w:cs="Times New Roman"/>
          <w:sz w:val="20"/>
          <w:szCs w:val="20"/>
          <w:lang w:eastAsia="es-ES"/>
        </w:rPr>
        <w:t xml:space="preserve"> de algunas sustancias</w:t>
      </w:r>
      <w:r>
        <w:rPr>
          <w:rFonts w:eastAsia="Times New Roman" w:cs="Times New Roman"/>
          <w:sz w:val="20"/>
          <w:szCs w:val="20"/>
          <w:lang w:eastAsia="es-ES"/>
        </w:rPr>
        <w:t xml:space="preserve">: </w:t>
      </w:r>
      <w:hyperlink r:id="rId16" w:tooltip="Piel humana" w:history="1"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Piel humana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: 5,5 </w:t>
      </w:r>
      <w:r>
        <w:rPr>
          <w:rFonts w:eastAsia="Times New Roman" w:cs="Times New Roman"/>
          <w:sz w:val="20"/>
          <w:szCs w:val="20"/>
          <w:lang w:eastAsia="es-ES"/>
        </w:rPr>
        <w:t xml:space="preserve">; </w:t>
      </w:r>
      <w:hyperlink r:id="rId17" w:tooltip="Leche" w:history="1">
        <w:r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l</w:t>
        </w:r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eche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: 6,5</w:t>
      </w:r>
      <w:r>
        <w:rPr>
          <w:rFonts w:eastAsia="Times New Roman" w:cs="Times New Roman"/>
          <w:sz w:val="20"/>
          <w:szCs w:val="20"/>
          <w:lang w:eastAsia="es-ES"/>
        </w:rPr>
        <w:t>; sangre</w:t>
      </w:r>
      <w:r w:rsidRPr="00F37145">
        <w:rPr>
          <w:rFonts w:eastAsia="Times New Roman" w:cs="Times New Roman"/>
          <w:sz w:val="20"/>
          <w:szCs w:val="20"/>
          <w:lang w:eastAsia="es-ES"/>
        </w:rPr>
        <w:t>: entre 7,35 y 7,45</w:t>
      </w:r>
      <w:r>
        <w:rPr>
          <w:rFonts w:eastAsia="Times New Roman" w:cs="Times New Roman"/>
          <w:sz w:val="20"/>
          <w:szCs w:val="20"/>
          <w:lang w:eastAsia="es-ES"/>
        </w:rPr>
        <w:t xml:space="preserve">; </w:t>
      </w:r>
      <w:hyperlink r:id="rId18" w:tooltip="Detergente" w:history="1">
        <w:r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d</w:t>
        </w:r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etergentes</w:t>
        </w:r>
      </w:hyperlink>
      <w:r>
        <w:rPr>
          <w:rFonts w:eastAsia="Times New Roman" w:cs="Times New Roman"/>
          <w:sz w:val="20"/>
          <w:szCs w:val="20"/>
          <w:lang w:eastAsia="es-ES"/>
        </w:rPr>
        <w:t xml:space="preserve">: 10,5 aproximadamente; </w:t>
      </w:r>
      <w:r w:rsidR="00E77A03">
        <w:rPr>
          <w:rFonts w:eastAsia="Times New Roman" w:cs="Times New Roman"/>
          <w:sz w:val="20"/>
          <w:szCs w:val="20"/>
          <w:lang w:eastAsia="es-ES"/>
        </w:rPr>
        <w:t xml:space="preserve">agua: 7 (pH neutro); </w:t>
      </w:r>
      <w:hyperlink r:id="rId19" w:tooltip="Limón" w:history="1">
        <w:r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z</w:t>
        </w:r>
        <w:r w:rsidRPr="00F37145">
          <w:rPr>
            <w:rStyle w:val="Hipervnculo"/>
            <w:rFonts w:eastAsia="Times New Roman" w:cs="Times New Roman"/>
            <w:color w:val="auto"/>
            <w:sz w:val="20"/>
            <w:szCs w:val="20"/>
            <w:u w:val="none"/>
            <w:lang w:eastAsia="es-ES"/>
          </w:rPr>
          <w:t>umo de limón</w:t>
        </w:r>
      </w:hyperlink>
      <w:r w:rsidRPr="00F37145">
        <w:rPr>
          <w:rFonts w:eastAsia="Times New Roman" w:cs="Times New Roman"/>
          <w:sz w:val="20"/>
          <w:szCs w:val="20"/>
          <w:lang w:eastAsia="es-ES"/>
        </w:rPr>
        <w:t>: 2.</w:t>
      </w:r>
    </w:p>
    <w:p w:rsidR="00F37145" w:rsidRDefault="00F37145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p w:rsidR="00E77A03" w:rsidRDefault="00E77A03" w:rsidP="00A545CE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>Actividades</w:t>
      </w:r>
      <w:r w:rsidRPr="00E77A03">
        <w:rPr>
          <w:rFonts w:eastAsia="Times New Roman" w:cs="Times New Roman"/>
          <w:b/>
          <w:sz w:val="20"/>
          <w:szCs w:val="20"/>
          <w:lang w:eastAsia="es-ES"/>
        </w:rPr>
        <w:t>:</w:t>
      </w:r>
    </w:p>
    <w:p w:rsidR="00E77A03" w:rsidRPr="00E77A03" w:rsidRDefault="00E77A03" w:rsidP="00A545CE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</w:p>
    <w:p w:rsidR="00E77A03" w:rsidRDefault="00E77A03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>1. Completa la tabla de decibelios de sonidos.</w:t>
      </w:r>
    </w:p>
    <w:p w:rsidR="00E77A03" w:rsidRDefault="00E77A03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>2. Compara el terremoto de Lorca (5,1 grados) con el de Japón que provocó el desastre de Fukushima (9,0 grados), ambos sucedidos en 2011.</w:t>
      </w:r>
    </w:p>
    <w:p w:rsidR="00E77A03" w:rsidRDefault="00E77A03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 xml:space="preserve">3. Si un violín produce un sonido de 80 decibelios ¿Cuánto emitirá un cuarteto de cuerda? ¿Y una orquesta de 50 violines? ¿Cuántos harán falta para llegar a los 100 dB? </w:t>
      </w:r>
    </w:p>
    <w:p w:rsidR="00E77A03" w:rsidRPr="00DA34C6" w:rsidRDefault="00E77A03" w:rsidP="00A545CE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>4. ¿Qué pH tendrá una limonada realizada mezclando un litro de agua con un litro de zumo de limón? ¿Cuánta agua habrá que echarle a un litro de zumo de limón para que el pH de la mezcla sea 3?</w:t>
      </w:r>
    </w:p>
    <w:p w:rsidR="00E77A03" w:rsidRPr="00DA34C6" w:rsidRDefault="00E77A03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sectPr w:rsidR="00E77A03" w:rsidRPr="00DA34C6" w:rsidSect="00AC4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B80"/>
    <w:multiLevelType w:val="multilevel"/>
    <w:tmpl w:val="222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E1744"/>
    <w:rsid w:val="00463E9B"/>
    <w:rsid w:val="006E1744"/>
    <w:rsid w:val="00A545CE"/>
    <w:rsid w:val="00AC4AF7"/>
    <w:rsid w:val="00B64D6A"/>
    <w:rsid w:val="00DA34C6"/>
    <w:rsid w:val="00E77A03"/>
    <w:rsid w:val="00F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F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1"/>
    <w:basedOn w:val="Normal"/>
    <w:rsid w:val="006E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E1744"/>
  </w:style>
  <w:style w:type="paragraph" w:styleId="Textodeglobo">
    <w:name w:val="Balloon Text"/>
    <w:basedOn w:val="Normal"/>
    <w:link w:val="TextodegloboCar"/>
    <w:uiPriority w:val="99"/>
    <w:semiHidden/>
    <w:unhideWhenUsed/>
    <w:rsid w:val="006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744"/>
    <w:rPr>
      <w:rFonts w:ascii="Tahoma" w:hAnsi="Tahoma" w:cs="Tahoma"/>
      <w:sz w:val="16"/>
      <w:szCs w:val="16"/>
    </w:rPr>
  </w:style>
  <w:style w:type="paragraph" w:customStyle="1" w:styleId="omnipage4">
    <w:name w:val="omnipage4"/>
    <w:basedOn w:val="Normal"/>
    <w:rsid w:val="006E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E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nipage10">
    <w:name w:val="omnipage10"/>
    <w:basedOn w:val="Normal"/>
    <w:rsid w:val="006E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E1744"/>
    <w:rPr>
      <w:color w:val="808080"/>
    </w:rPr>
  </w:style>
  <w:style w:type="table" w:styleId="Tablaconcuadrcula">
    <w:name w:val="Table Grid"/>
    <w:basedOn w:val="Tablanormal"/>
    <w:uiPriority w:val="59"/>
    <w:rsid w:val="0046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438">
          <w:blockQuote w:val="1"/>
          <w:marLeft w:val="298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643">
          <w:blockQuote w:val="1"/>
          <w:marLeft w:val="298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soluci%C3%B3n" TargetMode="External"/><Relationship Id="rId13" Type="http://schemas.openxmlformats.org/officeDocument/2006/relationships/hyperlink" Target="https://es.wikipedia.org/wiki/Ion" TargetMode="External"/><Relationship Id="rId18" Type="http://schemas.openxmlformats.org/officeDocument/2006/relationships/hyperlink" Target="https://es.wikipedia.org/wiki/Detergent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Base_(qu%C3%ADmica)" TargetMode="External"/><Relationship Id="rId12" Type="http://schemas.openxmlformats.org/officeDocument/2006/relationships/hyperlink" Target="https://es.wikipedia.org/wiki/Actividad_(qu%C3%ADmica)" TargetMode="External"/><Relationship Id="rId17" Type="http://schemas.openxmlformats.org/officeDocument/2006/relationships/hyperlink" Target="https://es.wikipedia.org/wiki/Lec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iel_huma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Acidez" TargetMode="External"/><Relationship Id="rId11" Type="http://schemas.openxmlformats.org/officeDocument/2006/relationships/hyperlink" Target="https://es.wikipedia.org/wiki/S._P._L._S%C3%B8rens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Base_(qu%C3%ADmica)" TargetMode="External"/><Relationship Id="rId10" Type="http://schemas.openxmlformats.org/officeDocument/2006/relationships/hyperlink" Target="https://es.wikipedia.org/wiki/Qu%C3%ADmica" TargetMode="External"/><Relationship Id="rId19" Type="http://schemas.openxmlformats.org/officeDocument/2006/relationships/hyperlink" Target="https://es.wikipedia.org/wiki/Lim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idronio" TargetMode="External"/><Relationship Id="rId14" Type="http://schemas.openxmlformats.org/officeDocument/2006/relationships/hyperlink" Target="https://es.wikipedia.org/wiki/%C3%81c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D8D0-FB24-4D9B-ACAC-DFB719C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2</cp:revision>
  <cp:lastPrinted>2015-09-23T11:44:00Z</cp:lastPrinted>
  <dcterms:created xsi:type="dcterms:W3CDTF">2015-09-23T11:44:00Z</dcterms:created>
  <dcterms:modified xsi:type="dcterms:W3CDTF">2015-09-23T11:44:00Z</dcterms:modified>
</cp:coreProperties>
</file>